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CA5C2C">
              <w:rPr>
                <w:b/>
                <w:color w:val="000000" w:themeColor="text1"/>
              </w:rPr>
              <w:t>30</w:t>
            </w:r>
            <w:r w:rsidR="003B39C3">
              <w:rPr>
                <w:b/>
                <w:color w:val="000000" w:themeColor="text1"/>
              </w:rPr>
              <w:t>.0</w:t>
            </w:r>
            <w:r w:rsidR="00CA5C2C">
              <w:rPr>
                <w:b/>
                <w:color w:val="000000" w:themeColor="text1"/>
              </w:rPr>
              <w:t>9</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CA5C2C">
              <w:t>35</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F832FE" w:rsidP="00F832FE">
            <w:pPr>
              <w:pStyle w:val="ConsPlusNormal"/>
              <w:jc w:val="center"/>
            </w:pPr>
            <w:r>
              <w:t>88,21</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F832FE" w:rsidP="00FE56D7">
            <w:pPr>
              <w:pStyle w:val="ConsPlusNormal"/>
              <w:jc w:val="center"/>
            </w:pPr>
            <w:r>
              <w:t>3,6</w:t>
            </w:r>
            <w:r w:rsidR="003E721C">
              <w:t>4</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5,99</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F832FE" w:rsidP="003B39C3">
            <w:pPr>
              <w:pStyle w:val="ConsPlusNormal"/>
            </w:pPr>
            <w:r>
              <w:t>ИП Романов О.А.</w:t>
            </w:r>
          </w:p>
          <w:p w:rsidR="00A2751D" w:rsidRDefault="003B39C3" w:rsidP="00140E33">
            <w:pPr>
              <w:pStyle w:val="ConsPlusNormal"/>
            </w:pPr>
            <w:r>
              <w:t xml:space="preserve">(ИНН </w:t>
            </w:r>
            <w:r w:rsidR="00F832FE" w:rsidRPr="00F832FE">
              <w:t>504504447776</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0,8</w:t>
            </w:r>
            <w:r w:rsidR="003E721C">
              <w:t>6</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0,23</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06F39">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2D2E74" w:rsidP="00A2751D">
            <w:pPr>
              <w:pStyle w:val="ConsPlusNormal"/>
              <w:jc w:val="center"/>
              <w:rPr>
                <w:lang w:val="en-US"/>
              </w:rPr>
            </w:pPr>
            <w:r>
              <w:rPr>
                <w:noProof/>
              </w:rPr>
              <w:drawing>
                <wp:inline distT="0" distB="0" distL="0" distR="0" wp14:anchorId="028B919B" wp14:editId="3F5DA7AC">
                  <wp:extent cx="2590800" cy="3086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510D09" w:rsidTr="00997B1E">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510D09" w:rsidRDefault="00510D09" w:rsidP="00510D09">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tcPr>
          <w:p w:rsidR="00510D09" w:rsidRPr="0018571F" w:rsidRDefault="00510D09" w:rsidP="00510D09">
            <w:pPr>
              <w:jc w:val="center"/>
            </w:pPr>
            <w:r w:rsidRPr="0018571F">
              <w:t>-3,82%</w:t>
            </w:r>
          </w:p>
        </w:tc>
        <w:tc>
          <w:tcPr>
            <w:tcW w:w="1985" w:type="dxa"/>
            <w:gridSpan w:val="2"/>
            <w:tcBorders>
              <w:top w:val="single" w:sz="4" w:space="0" w:color="auto"/>
              <w:left w:val="nil"/>
              <w:bottom w:val="single" w:sz="4" w:space="0" w:color="auto"/>
              <w:right w:val="nil"/>
            </w:tcBorders>
            <w:shd w:val="clear" w:color="auto" w:fill="auto"/>
          </w:tcPr>
          <w:p w:rsidR="00510D09" w:rsidRPr="00F9225C" w:rsidRDefault="00510D09" w:rsidP="00510D09">
            <w:pPr>
              <w:jc w:val="center"/>
            </w:pPr>
            <w:r w:rsidRPr="00F9225C">
              <w:t>-4,22%</w:t>
            </w:r>
          </w:p>
        </w:tc>
        <w:tc>
          <w:tcPr>
            <w:tcW w:w="284" w:type="dxa"/>
            <w:vMerge/>
            <w:tcBorders>
              <w:top w:val="single" w:sz="4" w:space="0" w:color="auto"/>
              <w:left w:val="single" w:sz="4" w:space="0" w:color="auto"/>
            </w:tcBorders>
          </w:tcPr>
          <w:p w:rsidR="00510D09" w:rsidRPr="0020563C" w:rsidRDefault="00510D09" w:rsidP="00510D09">
            <w:pPr>
              <w:pStyle w:val="ConsPlusNormal"/>
              <w:jc w:val="center"/>
            </w:pPr>
          </w:p>
        </w:tc>
      </w:tr>
      <w:tr w:rsidR="00510D09" w:rsidTr="00997B1E">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510D09" w:rsidRDefault="00510D09" w:rsidP="00510D09">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tcPr>
          <w:p w:rsidR="00510D09" w:rsidRPr="0018571F" w:rsidRDefault="00510D09" w:rsidP="00510D09">
            <w:pPr>
              <w:jc w:val="center"/>
            </w:pPr>
            <w:r w:rsidRPr="0018571F">
              <w:t>2,61%</w:t>
            </w:r>
          </w:p>
        </w:tc>
        <w:tc>
          <w:tcPr>
            <w:tcW w:w="1985" w:type="dxa"/>
            <w:gridSpan w:val="2"/>
            <w:tcBorders>
              <w:top w:val="single" w:sz="4" w:space="0" w:color="auto"/>
              <w:left w:val="nil"/>
              <w:bottom w:val="single" w:sz="4" w:space="0" w:color="auto"/>
              <w:right w:val="nil"/>
            </w:tcBorders>
            <w:shd w:val="clear" w:color="auto" w:fill="auto"/>
          </w:tcPr>
          <w:p w:rsidR="00510D09" w:rsidRPr="00F9225C" w:rsidRDefault="00510D09" w:rsidP="00510D09">
            <w:pPr>
              <w:jc w:val="center"/>
            </w:pPr>
            <w:r w:rsidRPr="00F9225C">
              <w:t>2,04%</w:t>
            </w:r>
          </w:p>
        </w:tc>
        <w:tc>
          <w:tcPr>
            <w:tcW w:w="284" w:type="dxa"/>
            <w:vMerge/>
            <w:tcBorders>
              <w:top w:val="single" w:sz="4" w:space="0" w:color="auto"/>
              <w:left w:val="single" w:sz="4" w:space="0" w:color="auto"/>
            </w:tcBorders>
          </w:tcPr>
          <w:p w:rsidR="00510D09" w:rsidRDefault="00510D09" w:rsidP="00510D09">
            <w:pPr>
              <w:pStyle w:val="ConsPlusNormal"/>
            </w:pPr>
          </w:p>
        </w:tc>
      </w:tr>
      <w:tr w:rsidR="00510D09" w:rsidTr="00997B1E">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510D09" w:rsidRDefault="00510D09" w:rsidP="00510D09">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tcPr>
          <w:p w:rsidR="00510D09" w:rsidRPr="0018571F" w:rsidRDefault="00510D09" w:rsidP="00510D09">
            <w:pPr>
              <w:jc w:val="center"/>
            </w:pPr>
            <w:r w:rsidRPr="0018571F">
              <w:t>8,46%</w:t>
            </w:r>
          </w:p>
        </w:tc>
        <w:tc>
          <w:tcPr>
            <w:tcW w:w="1985" w:type="dxa"/>
            <w:gridSpan w:val="2"/>
            <w:tcBorders>
              <w:top w:val="single" w:sz="4" w:space="0" w:color="auto"/>
              <w:left w:val="nil"/>
              <w:bottom w:val="single" w:sz="4" w:space="0" w:color="auto"/>
              <w:right w:val="nil"/>
            </w:tcBorders>
            <w:shd w:val="clear" w:color="auto" w:fill="auto"/>
          </w:tcPr>
          <w:p w:rsidR="00510D09" w:rsidRPr="00F9225C" w:rsidRDefault="00510D09" w:rsidP="00510D09">
            <w:pPr>
              <w:jc w:val="center"/>
            </w:pPr>
            <w:r w:rsidRPr="00F9225C">
              <w:t>6,86%</w:t>
            </w:r>
          </w:p>
        </w:tc>
        <w:tc>
          <w:tcPr>
            <w:tcW w:w="284" w:type="dxa"/>
            <w:vMerge/>
            <w:tcBorders>
              <w:top w:val="single" w:sz="4" w:space="0" w:color="auto"/>
              <w:left w:val="single" w:sz="4" w:space="0" w:color="auto"/>
            </w:tcBorders>
          </w:tcPr>
          <w:p w:rsidR="00510D09" w:rsidRDefault="00510D09" w:rsidP="00510D09">
            <w:pPr>
              <w:pStyle w:val="ConsPlusNormal"/>
            </w:pPr>
          </w:p>
        </w:tc>
      </w:tr>
      <w:tr w:rsidR="00510D09" w:rsidTr="00997B1E">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510D09" w:rsidRDefault="00510D09" w:rsidP="00510D09">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tcPr>
          <w:p w:rsidR="00510D09" w:rsidRPr="0018571F" w:rsidRDefault="00510D09" w:rsidP="00510D09">
            <w:pPr>
              <w:jc w:val="center"/>
            </w:pPr>
            <w:r w:rsidRPr="0018571F">
              <w:t>139,19%</w:t>
            </w:r>
          </w:p>
        </w:tc>
        <w:tc>
          <w:tcPr>
            <w:tcW w:w="1985" w:type="dxa"/>
            <w:gridSpan w:val="2"/>
            <w:tcBorders>
              <w:top w:val="single" w:sz="4" w:space="0" w:color="auto"/>
              <w:left w:val="nil"/>
              <w:bottom w:val="single" w:sz="4" w:space="0" w:color="auto"/>
              <w:right w:val="nil"/>
            </w:tcBorders>
            <w:shd w:val="clear" w:color="auto" w:fill="auto"/>
          </w:tcPr>
          <w:p w:rsidR="00510D09" w:rsidRPr="00F9225C" w:rsidRDefault="00510D09" w:rsidP="00510D09">
            <w:pPr>
              <w:jc w:val="center"/>
            </w:pPr>
            <w:r w:rsidRPr="00F9225C">
              <w:t>131,16%</w:t>
            </w:r>
          </w:p>
        </w:tc>
        <w:tc>
          <w:tcPr>
            <w:tcW w:w="284" w:type="dxa"/>
            <w:vMerge/>
            <w:tcBorders>
              <w:top w:val="single" w:sz="4" w:space="0" w:color="auto"/>
              <w:left w:val="single" w:sz="4" w:space="0" w:color="auto"/>
            </w:tcBorders>
          </w:tcPr>
          <w:p w:rsidR="00510D09" w:rsidRDefault="00510D09" w:rsidP="00510D09">
            <w:pPr>
              <w:pStyle w:val="ConsPlusNormal"/>
            </w:pPr>
          </w:p>
        </w:tc>
      </w:tr>
      <w:tr w:rsidR="00510D09" w:rsidRPr="00EA3F32" w:rsidTr="00997B1E">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510D09" w:rsidRDefault="00510D09" w:rsidP="00510D09">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tcPr>
          <w:p w:rsidR="00510D09" w:rsidRPr="0018571F" w:rsidRDefault="00510D09" w:rsidP="00510D09">
            <w:pPr>
              <w:jc w:val="center"/>
            </w:pPr>
            <w:r w:rsidRPr="0018571F">
              <w:t>213,31%</w:t>
            </w:r>
          </w:p>
        </w:tc>
        <w:tc>
          <w:tcPr>
            <w:tcW w:w="1985" w:type="dxa"/>
            <w:gridSpan w:val="2"/>
            <w:tcBorders>
              <w:top w:val="single" w:sz="4" w:space="0" w:color="auto"/>
              <w:left w:val="nil"/>
              <w:bottom w:val="single" w:sz="4" w:space="0" w:color="auto"/>
              <w:right w:val="nil"/>
            </w:tcBorders>
            <w:shd w:val="clear" w:color="auto" w:fill="auto"/>
          </w:tcPr>
          <w:p w:rsidR="00510D09" w:rsidRPr="00F9225C" w:rsidRDefault="00510D09" w:rsidP="00510D09">
            <w:pPr>
              <w:jc w:val="center"/>
            </w:pPr>
            <w:r w:rsidRPr="00F9225C">
              <w:t>189,00%</w:t>
            </w:r>
          </w:p>
        </w:tc>
        <w:tc>
          <w:tcPr>
            <w:tcW w:w="284" w:type="dxa"/>
            <w:vMerge/>
            <w:tcBorders>
              <w:top w:val="single" w:sz="4" w:space="0" w:color="auto"/>
              <w:left w:val="single" w:sz="4" w:space="0" w:color="auto"/>
            </w:tcBorders>
          </w:tcPr>
          <w:p w:rsidR="00510D09" w:rsidRDefault="00510D09" w:rsidP="00510D09">
            <w:pPr>
              <w:pStyle w:val="ConsPlusNormal"/>
            </w:pPr>
          </w:p>
        </w:tc>
      </w:tr>
      <w:tr w:rsidR="00510D09" w:rsidTr="00997B1E">
        <w:trPr>
          <w:gridAfter w:val="4"/>
          <w:wAfter w:w="1364" w:type="dxa"/>
          <w:jc w:val="center"/>
        </w:trPr>
        <w:tc>
          <w:tcPr>
            <w:tcW w:w="4395" w:type="dxa"/>
            <w:gridSpan w:val="4"/>
            <w:tcBorders>
              <w:top w:val="single" w:sz="4" w:space="0" w:color="auto"/>
              <w:right w:val="single" w:sz="4" w:space="0" w:color="auto"/>
            </w:tcBorders>
          </w:tcPr>
          <w:p w:rsidR="00510D09" w:rsidRDefault="00510D09" w:rsidP="00510D09">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10D09" w:rsidRPr="00900135" w:rsidRDefault="00510D09" w:rsidP="00510D09">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tcPr>
          <w:p w:rsidR="00510D09" w:rsidRDefault="00510D09" w:rsidP="00510D09">
            <w:pPr>
              <w:jc w:val="center"/>
            </w:pPr>
            <w:r w:rsidRPr="0018571F">
              <w:t>215,39%</w:t>
            </w:r>
          </w:p>
        </w:tc>
        <w:tc>
          <w:tcPr>
            <w:tcW w:w="1985" w:type="dxa"/>
            <w:gridSpan w:val="2"/>
            <w:tcBorders>
              <w:top w:val="single" w:sz="4" w:space="0" w:color="auto"/>
              <w:left w:val="nil"/>
              <w:bottom w:val="single" w:sz="4" w:space="0" w:color="auto"/>
              <w:right w:val="nil"/>
            </w:tcBorders>
            <w:shd w:val="clear" w:color="auto" w:fill="auto"/>
          </w:tcPr>
          <w:p w:rsidR="00510D09" w:rsidRDefault="00510D09" w:rsidP="00510D09">
            <w:pPr>
              <w:jc w:val="center"/>
            </w:pPr>
            <w:r w:rsidRPr="00F9225C">
              <w:t>163,70%</w:t>
            </w:r>
          </w:p>
        </w:tc>
        <w:tc>
          <w:tcPr>
            <w:tcW w:w="284" w:type="dxa"/>
            <w:vMerge/>
            <w:tcBorders>
              <w:top w:val="single" w:sz="4" w:space="0" w:color="auto"/>
              <w:left w:val="single" w:sz="4" w:space="0" w:color="auto"/>
            </w:tcBorders>
          </w:tcPr>
          <w:p w:rsidR="00510D09" w:rsidRDefault="00510D09" w:rsidP="00510D09">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510D09" w:rsidRDefault="00A2751D" w:rsidP="00510D09">
            <w:pPr>
              <w:pStyle w:val="ConsPlusNormal"/>
              <w:jc w:val="both"/>
              <w:rPr>
                <w:b/>
              </w:rPr>
            </w:pPr>
            <w:r>
              <w:t xml:space="preserve">1. Расчетная стоимость инвестиционного пая </w:t>
            </w:r>
            <w:r w:rsidR="00510D09" w:rsidRPr="00510D09">
              <w:rPr>
                <w:b/>
              </w:rPr>
              <w:t>2 890 027,81</w:t>
            </w:r>
            <w:r w:rsidR="00510D09">
              <w:rPr>
                <w:rFonts w:ascii="Microsoft Sans Serif" w:hAnsi="Microsoft Sans Serif" w:cs="Microsoft Sans Serif"/>
                <w:sz w:val="16"/>
                <w:szCs w:val="16"/>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Pr="00510D09"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510D09">
              <w:t xml:space="preserve"> </w:t>
            </w:r>
            <w:r w:rsidR="00510D09" w:rsidRPr="00510D09">
              <w:rPr>
                <w:b/>
              </w:rPr>
              <w:t>289 002 780,80</w:t>
            </w:r>
            <w:r w:rsidR="00510D09">
              <w:rPr>
                <w:rFonts w:ascii="Microsoft Sans Serif" w:hAnsi="Microsoft Sans Serif" w:cs="Microsoft Sans Serif"/>
                <w:sz w:val="16"/>
                <w:szCs w:val="16"/>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счет, реквизиты которого указаны в реестре </w:t>
            </w:r>
            <w:r w:rsidRPr="002217B5">
              <w:lastRenderedPageBreak/>
              <w:t>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t>6</w:t>
            </w:r>
            <w:r w:rsidRPr="003567F6">
              <w:t>.</w:t>
            </w:r>
            <w:r>
              <w:t xml:space="preserve"> </w:t>
            </w:r>
            <w:r w:rsidRPr="00D524E8">
              <w:t xml:space="preserve">Общество с ограниченной </w:t>
            </w:r>
            <w:r w:rsidRPr="00D524E8">
              <w:lastRenderedPageBreak/>
              <w:t>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DB287A">
        <w:t>вуют данные инфляции за сентябрь</w:t>
      </w:r>
      <w:r w:rsidR="001E57B2">
        <w:t xml:space="preserve"> </w:t>
      </w:r>
      <w:r w:rsidR="008D622D">
        <w:t>2025</w:t>
      </w:r>
      <w:r w:rsidR="00CB0994">
        <w:t xml:space="preserve"> г. раскрытые Росстатом (</w:t>
      </w:r>
      <w:r w:rsidRPr="005C7547">
        <w:t>https://rosstat.gov.ru/), для расче</w:t>
      </w:r>
      <w:r>
        <w:t>т</w:t>
      </w:r>
      <w:r w:rsidR="00DB287A">
        <w:t>а использованы данные за август</w:t>
      </w:r>
      <w:r w:rsidR="00C10B02">
        <w:t xml:space="preserve"> 2025</w:t>
      </w:r>
      <w:r>
        <w:t xml:space="preserve"> </w:t>
      </w:r>
      <w:r w:rsidRPr="005C7547">
        <w:t>г</w:t>
      </w:r>
      <w:r>
        <w:t>.</w:t>
      </w:r>
    </w:p>
    <w:p w:rsidR="005C7547" w:rsidRPr="00F06F39" w:rsidRDefault="005C7547" w:rsidP="003567F6">
      <w:pPr>
        <w:pStyle w:val="ConsPlusNormal"/>
        <w:jc w:val="both"/>
      </w:pPr>
      <w:bookmarkStart w:id="0" w:name="_GoBack"/>
      <w:bookmarkEnd w:id="0"/>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D21"/>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31.01.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2024</c:v>
                </c:pt>
                <c:pt idx="1">
                  <c:v>2023</c:v>
                </c:pt>
                <c:pt idx="2">
                  <c:v>2022</c:v>
                </c:pt>
                <c:pt idx="3">
                  <c:v>2021</c:v>
                </c:pt>
                <c:pt idx="4">
                  <c:v>2020</c:v>
                </c:pt>
              </c:strCache>
            </c:strRef>
          </c:cat>
          <c:val>
            <c:numRef>
              <c:f>'Доходность по годам'!$E$4:$E$8</c:f>
              <c:numCache>
                <c:formatCode>0.00%</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B55-443B-B694-4B71D0D18AA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9BD59-5592-4090-BAE7-7AE71E7D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20</cp:revision>
  <cp:lastPrinted>2022-10-11T08:50:00Z</cp:lastPrinted>
  <dcterms:created xsi:type="dcterms:W3CDTF">2025-06-26T12:04:00Z</dcterms:created>
  <dcterms:modified xsi:type="dcterms:W3CDTF">2025-10-06T12:12:00Z</dcterms:modified>
</cp:coreProperties>
</file>