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45640A">
              <w:rPr>
                <w:b/>
                <w:color w:val="000000" w:themeColor="text1"/>
              </w:rPr>
              <w:t>29</w:t>
            </w:r>
            <w:r w:rsidR="007B27F1">
              <w:rPr>
                <w:b/>
                <w:color w:val="000000" w:themeColor="text1"/>
              </w:rPr>
              <w:t>.0</w:t>
            </w:r>
            <w:r w:rsidR="00C006DF">
              <w:rPr>
                <w:b/>
                <w:color w:val="000000" w:themeColor="text1"/>
              </w:rPr>
              <w:t>5</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C006D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C006DF">
              <w:t>23</w:t>
            </w:r>
            <w:r w:rsidR="00264BB8" w:rsidRPr="005249FF">
              <w:t xml:space="preserve"> объект</w:t>
            </w:r>
            <w:r w:rsidR="00C006DF">
              <w:t>а</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7B27F1" w:rsidRDefault="00C006DF" w:rsidP="00C006DF">
            <w:pPr>
              <w:jc w:val="center"/>
              <w:outlineLvl w:val="2"/>
              <w:rPr>
                <w:rFonts w:ascii="Arial" w:eastAsia="Times New Roman" w:hAnsi="Arial" w:cs="Arial"/>
                <w:sz w:val="20"/>
                <w:szCs w:val="20"/>
              </w:rPr>
            </w:pPr>
            <w:r>
              <w:rPr>
                <w:rFonts w:ascii="Arial" w:hAnsi="Arial" w:cs="Arial"/>
                <w:sz w:val="20"/>
                <w:szCs w:val="20"/>
              </w:rPr>
              <w:t>92,92</w:t>
            </w:r>
            <w:r>
              <w:rPr>
                <w:rFonts w:ascii="Arial" w:eastAsia="Times New Roman" w:hAnsi="Arial" w:cs="Arial"/>
                <w:sz w:val="20"/>
                <w:szCs w:val="20"/>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D970B7" w:rsidRDefault="00D970B7" w:rsidP="00D970B7">
            <w:pPr>
              <w:jc w:val="center"/>
              <w:outlineLvl w:val="2"/>
              <w:rPr>
                <w:rFonts w:ascii="Arial" w:eastAsia="Times New Roman" w:hAnsi="Arial" w:cs="Arial"/>
                <w:sz w:val="20"/>
                <w:szCs w:val="20"/>
              </w:rPr>
            </w:pPr>
            <w:r>
              <w:rPr>
                <w:rFonts w:ascii="Arial" w:hAnsi="Arial" w:cs="Arial"/>
                <w:sz w:val="20"/>
                <w:szCs w:val="20"/>
              </w:rPr>
              <w:t>3,83</w:t>
            </w:r>
            <w:r>
              <w:rPr>
                <w:rFonts w:ascii="Arial" w:eastAsia="Times New Roman" w:hAnsi="Arial" w:cs="Arial"/>
                <w:sz w:val="20"/>
                <w:szCs w:val="20"/>
              </w:rPr>
              <w:t xml:space="preserve">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D970B7" w:rsidRDefault="00C006DF" w:rsidP="00D970B7">
            <w:pPr>
              <w:jc w:val="center"/>
              <w:outlineLvl w:val="2"/>
              <w:rPr>
                <w:rFonts w:ascii="Arial" w:eastAsia="Times New Roman" w:hAnsi="Arial" w:cs="Arial"/>
                <w:sz w:val="20"/>
                <w:szCs w:val="20"/>
              </w:rPr>
            </w:pPr>
            <w:r>
              <w:rPr>
                <w:rFonts w:ascii="Arial" w:hAnsi="Arial" w:cs="Arial"/>
                <w:sz w:val="20"/>
                <w:szCs w:val="20"/>
              </w:rPr>
              <w:t>1,98</w:t>
            </w:r>
            <w:r w:rsidR="00D970B7">
              <w:rPr>
                <w:rFonts w:ascii="Arial" w:eastAsia="Times New Roman" w:hAnsi="Arial" w:cs="Arial"/>
                <w:sz w:val="20"/>
                <w:szCs w:val="20"/>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C006DF" w:rsidP="00A2751D">
            <w:pPr>
              <w:pStyle w:val="ConsPlusNormal"/>
              <w:jc w:val="center"/>
            </w:pPr>
            <w:r>
              <w:t>0,34</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C006DF" w:rsidP="00A2751D">
            <w:pPr>
              <w:pStyle w:val="ConsPlusNormal"/>
              <w:jc w:val="center"/>
            </w:pPr>
            <w:r>
              <w:t>0,21</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667DB8">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667DB8" w:rsidP="00A2751D">
            <w:pPr>
              <w:pStyle w:val="ConsPlusNormal"/>
              <w:jc w:val="center"/>
            </w:pPr>
            <w:r>
              <w:rPr>
                <w:noProof/>
              </w:rPr>
              <w:drawing>
                <wp:inline distT="0" distB="0" distL="0" distR="0" wp14:anchorId="149CFEE6" wp14:editId="65EB7E84">
                  <wp:extent cx="3042285" cy="2505075"/>
                  <wp:effectExtent l="0" t="0" r="571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D70669" w:rsidTr="005B006B">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D70669" w:rsidRDefault="00D70669" w:rsidP="00D70669">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Pr="00900135" w:rsidRDefault="00D70669" w:rsidP="00D70669">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Default="00D70669" w:rsidP="00D70669">
            <w:pPr>
              <w:jc w:val="right"/>
              <w:rPr>
                <w:rFonts w:ascii="Calibri" w:eastAsia="Times New Roman" w:hAnsi="Calibri" w:cs="Calibri"/>
                <w:color w:val="000000"/>
              </w:rPr>
            </w:pPr>
            <w:r>
              <w:rPr>
                <w:rFonts w:ascii="Calibri" w:hAnsi="Calibri" w:cs="Calibri"/>
                <w:color w:val="000000"/>
              </w:rPr>
              <w:t>1,33%</w:t>
            </w:r>
          </w:p>
        </w:tc>
        <w:tc>
          <w:tcPr>
            <w:tcW w:w="1983" w:type="dxa"/>
            <w:gridSpan w:val="2"/>
            <w:tcBorders>
              <w:top w:val="single" w:sz="4" w:space="0" w:color="auto"/>
              <w:left w:val="nil"/>
              <w:bottom w:val="single" w:sz="4" w:space="0" w:color="auto"/>
              <w:right w:val="nil"/>
            </w:tcBorders>
            <w:shd w:val="clear" w:color="auto" w:fill="auto"/>
            <w:vAlign w:val="center"/>
          </w:tcPr>
          <w:p w:rsidR="00D70669" w:rsidRDefault="00D70669" w:rsidP="00D70669">
            <w:pPr>
              <w:jc w:val="right"/>
              <w:rPr>
                <w:rFonts w:ascii="Calibri" w:eastAsia="Times New Roman" w:hAnsi="Calibri" w:cs="Calibri"/>
                <w:color w:val="000000"/>
              </w:rPr>
            </w:pPr>
            <w:r>
              <w:rPr>
                <w:rFonts w:ascii="Calibri" w:hAnsi="Calibri" w:cs="Calibri"/>
                <w:color w:val="000000"/>
              </w:rPr>
              <w:t>1,19%</w:t>
            </w:r>
          </w:p>
        </w:tc>
        <w:tc>
          <w:tcPr>
            <w:tcW w:w="144" w:type="dxa"/>
            <w:vMerge/>
            <w:tcBorders>
              <w:top w:val="single" w:sz="4" w:space="0" w:color="auto"/>
              <w:left w:val="single" w:sz="4" w:space="0" w:color="auto"/>
            </w:tcBorders>
          </w:tcPr>
          <w:p w:rsidR="00D70669" w:rsidRPr="0020563C" w:rsidRDefault="00D70669" w:rsidP="00D70669">
            <w:pPr>
              <w:pStyle w:val="ConsPlusNormal"/>
              <w:jc w:val="center"/>
            </w:pPr>
          </w:p>
        </w:tc>
      </w:tr>
      <w:tr w:rsidR="00D70669" w:rsidTr="005B006B">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D70669" w:rsidRDefault="00D70669" w:rsidP="00D7066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Pr="00900135" w:rsidRDefault="00D70669" w:rsidP="00D70669">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Default="00D70669" w:rsidP="00D70669">
            <w:pPr>
              <w:jc w:val="right"/>
              <w:rPr>
                <w:rFonts w:ascii="Calibri" w:hAnsi="Calibri" w:cs="Calibri"/>
                <w:color w:val="000000"/>
              </w:rPr>
            </w:pPr>
            <w:r>
              <w:rPr>
                <w:rFonts w:ascii="Calibri" w:hAnsi="Calibri" w:cs="Calibri"/>
                <w:color w:val="000000"/>
              </w:rPr>
              <w:t>5,51%</w:t>
            </w:r>
          </w:p>
        </w:tc>
        <w:tc>
          <w:tcPr>
            <w:tcW w:w="1983" w:type="dxa"/>
            <w:gridSpan w:val="2"/>
            <w:tcBorders>
              <w:top w:val="single" w:sz="4" w:space="0" w:color="auto"/>
              <w:left w:val="nil"/>
              <w:bottom w:val="single" w:sz="4" w:space="0" w:color="auto"/>
              <w:right w:val="nil"/>
            </w:tcBorders>
            <w:shd w:val="clear" w:color="auto" w:fill="auto"/>
            <w:vAlign w:val="center"/>
          </w:tcPr>
          <w:p w:rsidR="00D70669" w:rsidRDefault="00D70669" w:rsidP="00D70669">
            <w:pPr>
              <w:jc w:val="right"/>
              <w:rPr>
                <w:rFonts w:ascii="Calibri" w:hAnsi="Calibri" w:cs="Calibri"/>
                <w:color w:val="000000"/>
              </w:rPr>
            </w:pPr>
            <w:r>
              <w:rPr>
                <w:rFonts w:ascii="Calibri" w:hAnsi="Calibri" w:cs="Calibri"/>
                <w:color w:val="000000"/>
              </w:rPr>
              <w:t>4,63%</w:t>
            </w:r>
          </w:p>
        </w:tc>
        <w:tc>
          <w:tcPr>
            <w:tcW w:w="144" w:type="dxa"/>
            <w:vMerge/>
            <w:tcBorders>
              <w:top w:val="single" w:sz="4" w:space="0" w:color="auto"/>
              <w:left w:val="single" w:sz="4" w:space="0" w:color="auto"/>
            </w:tcBorders>
          </w:tcPr>
          <w:p w:rsidR="00D70669" w:rsidRDefault="00D70669" w:rsidP="00D70669">
            <w:pPr>
              <w:pStyle w:val="ConsPlusNormal"/>
            </w:pPr>
          </w:p>
        </w:tc>
      </w:tr>
      <w:tr w:rsidR="00D70669" w:rsidTr="005B006B">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D70669" w:rsidRDefault="00D70669" w:rsidP="00D7066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Pr="00900135" w:rsidRDefault="00D70669" w:rsidP="00D70669">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Default="00D70669" w:rsidP="00D70669">
            <w:pPr>
              <w:jc w:val="right"/>
              <w:rPr>
                <w:rFonts w:ascii="Calibri" w:hAnsi="Calibri" w:cs="Calibri"/>
                <w:color w:val="000000"/>
              </w:rPr>
            </w:pPr>
            <w:r>
              <w:rPr>
                <w:rFonts w:ascii="Calibri" w:hAnsi="Calibri" w:cs="Calibri"/>
                <w:color w:val="000000"/>
              </w:rPr>
              <w:t>10,17%</w:t>
            </w:r>
          </w:p>
        </w:tc>
        <w:tc>
          <w:tcPr>
            <w:tcW w:w="1983" w:type="dxa"/>
            <w:gridSpan w:val="2"/>
            <w:tcBorders>
              <w:top w:val="single" w:sz="4" w:space="0" w:color="auto"/>
              <w:left w:val="nil"/>
              <w:bottom w:val="single" w:sz="4" w:space="0" w:color="auto"/>
              <w:right w:val="nil"/>
            </w:tcBorders>
            <w:shd w:val="clear" w:color="auto" w:fill="auto"/>
            <w:vAlign w:val="center"/>
          </w:tcPr>
          <w:p w:rsidR="00D70669" w:rsidRDefault="00D70669" w:rsidP="00D70669">
            <w:pPr>
              <w:jc w:val="right"/>
              <w:rPr>
                <w:rFonts w:ascii="Calibri" w:hAnsi="Calibri" w:cs="Calibri"/>
                <w:color w:val="000000"/>
              </w:rPr>
            </w:pPr>
            <w:r>
              <w:rPr>
                <w:rFonts w:ascii="Calibri" w:hAnsi="Calibri" w:cs="Calibri"/>
                <w:color w:val="000000"/>
              </w:rPr>
              <w:t>6,58%</w:t>
            </w:r>
          </w:p>
        </w:tc>
        <w:tc>
          <w:tcPr>
            <w:tcW w:w="144" w:type="dxa"/>
            <w:vMerge/>
            <w:tcBorders>
              <w:top w:val="single" w:sz="4" w:space="0" w:color="auto"/>
              <w:left w:val="single" w:sz="4" w:space="0" w:color="auto"/>
            </w:tcBorders>
          </w:tcPr>
          <w:p w:rsidR="00D70669" w:rsidRDefault="00D70669" w:rsidP="00D70669">
            <w:pPr>
              <w:pStyle w:val="ConsPlusNormal"/>
            </w:pPr>
          </w:p>
        </w:tc>
      </w:tr>
      <w:tr w:rsidR="00D70669" w:rsidTr="005B006B">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D70669" w:rsidRDefault="00D70669" w:rsidP="00D7066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Pr="00900135" w:rsidRDefault="00D70669" w:rsidP="00D70669">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70669" w:rsidRDefault="00D70669" w:rsidP="00D70669">
            <w:pPr>
              <w:jc w:val="right"/>
              <w:rPr>
                <w:rFonts w:ascii="Calibri" w:hAnsi="Calibri" w:cs="Calibri"/>
                <w:color w:val="000000"/>
              </w:rPr>
            </w:pPr>
            <w:r>
              <w:rPr>
                <w:rFonts w:ascii="Calibri" w:hAnsi="Calibri" w:cs="Calibri"/>
                <w:color w:val="000000"/>
              </w:rPr>
              <w:t>19,94%</w:t>
            </w:r>
          </w:p>
        </w:tc>
        <w:tc>
          <w:tcPr>
            <w:tcW w:w="1983" w:type="dxa"/>
            <w:gridSpan w:val="2"/>
            <w:tcBorders>
              <w:top w:val="single" w:sz="4" w:space="0" w:color="auto"/>
              <w:left w:val="nil"/>
              <w:bottom w:val="single" w:sz="4" w:space="0" w:color="auto"/>
              <w:right w:val="nil"/>
            </w:tcBorders>
            <w:shd w:val="clear" w:color="auto" w:fill="auto"/>
            <w:vAlign w:val="center"/>
          </w:tcPr>
          <w:p w:rsidR="00D70669" w:rsidRDefault="00D70669" w:rsidP="00D70669">
            <w:pPr>
              <w:jc w:val="right"/>
              <w:rPr>
                <w:rFonts w:ascii="Calibri" w:hAnsi="Calibri" w:cs="Calibri"/>
                <w:color w:val="000000"/>
              </w:rPr>
            </w:pPr>
            <w:r>
              <w:rPr>
                <w:rFonts w:ascii="Calibri" w:hAnsi="Calibri" w:cs="Calibri"/>
                <w:color w:val="000000"/>
              </w:rPr>
              <w:t>14,66%</w:t>
            </w:r>
          </w:p>
        </w:tc>
        <w:tc>
          <w:tcPr>
            <w:tcW w:w="144" w:type="dxa"/>
            <w:vMerge/>
            <w:tcBorders>
              <w:top w:val="single" w:sz="4" w:space="0" w:color="auto"/>
              <w:left w:val="single" w:sz="4" w:space="0" w:color="auto"/>
            </w:tcBorders>
          </w:tcPr>
          <w:p w:rsidR="00D70669" w:rsidRDefault="00D70669" w:rsidP="00D70669">
            <w:pPr>
              <w:pStyle w:val="ConsPlusNormal"/>
            </w:pPr>
          </w:p>
        </w:tc>
      </w:tr>
      <w:tr w:rsidR="00667DB8" w:rsidRPr="00EA3F32" w:rsidTr="005B006B">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667DB8" w:rsidRDefault="00667DB8" w:rsidP="00667DB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7DB8" w:rsidRPr="00900135" w:rsidRDefault="00667DB8" w:rsidP="00667DB8">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7DB8" w:rsidRDefault="00667DB8" w:rsidP="00667DB8">
            <w:pPr>
              <w:jc w:val="right"/>
              <w:rPr>
                <w:rFonts w:ascii="Calibri" w:eastAsia="Times New Roman" w:hAnsi="Calibri" w:cs="Calibri"/>
                <w:color w:val="000000"/>
              </w:rPr>
            </w:pPr>
            <w:r>
              <w:rPr>
                <w:rFonts w:ascii="Calibri" w:hAnsi="Calibri" w:cs="Calibri"/>
                <w:color w:val="000000"/>
              </w:rPr>
              <w:t>233,73%</w:t>
            </w:r>
          </w:p>
        </w:tc>
        <w:tc>
          <w:tcPr>
            <w:tcW w:w="1983" w:type="dxa"/>
            <w:gridSpan w:val="2"/>
            <w:tcBorders>
              <w:top w:val="single" w:sz="4" w:space="0" w:color="auto"/>
              <w:left w:val="nil"/>
              <w:bottom w:val="single" w:sz="4" w:space="0" w:color="auto"/>
              <w:right w:val="nil"/>
            </w:tcBorders>
            <w:shd w:val="clear" w:color="auto" w:fill="auto"/>
            <w:vAlign w:val="center"/>
          </w:tcPr>
          <w:p w:rsidR="00667DB8" w:rsidRDefault="006F51C6" w:rsidP="006F51C6">
            <w:pPr>
              <w:jc w:val="right"/>
              <w:rPr>
                <w:rFonts w:ascii="Calibri" w:eastAsia="Times New Roman" w:hAnsi="Calibri" w:cs="Calibri"/>
                <w:color w:val="000000"/>
              </w:rPr>
            </w:pPr>
            <w:r>
              <w:rPr>
                <w:rFonts w:ascii="Calibri" w:hAnsi="Calibri" w:cs="Calibri"/>
                <w:color w:val="000000"/>
              </w:rPr>
              <w:t>208,47%</w:t>
            </w:r>
          </w:p>
        </w:tc>
        <w:tc>
          <w:tcPr>
            <w:tcW w:w="144" w:type="dxa"/>
            <w:vMerge/>
            <w:tcBorders>
              <w:top w:val="single" w:sz="4" w:space="0" w:color="auto"/>
              <w:left w:val="single" w:sz="4" w:space="0" w:color="auto"/>
            </w:tcBorders>
          </w:tcPr>
          <w:p w:rsidR="00667DB8" w:rsidRDefault="00667DB8" w:rsidP="00667DB8">
            <w:pPr>
              <w:pStyle w:val="ConsPlusNormal"/>
            </w:pPr>
          </w:p>
        </w:tc>
      </w:tr>
      <w:tr w:rsidR="00667DB8" w:rsidTr="005B006B">
        <w:trPr>
          <w:gridAfter w:val="7"/>
          <w:wAfter w:w="1767" w:type="dxa"/>
          <w:jc w:val="center"/>
        </w:trPr>
        <w:tc>
          <w:tcPr>
            <w:tcW w:w="4962" w:type="dxa"/>
            <w:gridSpan w:val="5"/>
            <w:tcBorders>
              <w:top w:val="single" w:sz="4" w:space="0" w:color="auto"/>
              <w:right w:val="single" w:sz="4" w:space="0" w:color="auto"/>
            </w:tcBorders>
          </w:tcPr>
          <w:p w:rsidR="00667DB8" w:rsidRDefault="00667DB8" w:rsidP="00667DB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7DB8" w:rsidRPr="00900135" w:rsidRDefault="00667DB8" w:rsidP="00667DB8">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7DB8" w:rsidRDefault="00667DB8" w:rsidP="00667DB8">
            <w:pPr>
              <w:jc w:val="right"/>
              <w:rPr>
                <w:rFonts w:ascii="Calibri" w:hAnsi="Calibri" w:cs="Calibri"/>
                <w:color w:val="000000"/>
              </w:rPr>
            </w:pPr>
            <w:r>
              <w:rPr>
                <w:rFonts w:ascii="Calibri" w:hAnsi="Calibri" w:cs="Calibri"/>
                <w:color w:val="000000"/>
              </w:rPr>
              <w:t>254,57%</w:t>
            </w:r>
          </w:p>
        </w:tc>
        <w:tc>
          <w:tcPr>
            <w:tcW w:w="1983" w:type="dxa"/>
            <w:gridSpan w:val="2"/>
            <w:tcBorders>
              <w:top w:val="single" w:sz="4" w:space="0" w:color="auto"/>
              <w:left w:val="nil"/>
              <w:bottom w:val="single" w:sz="4" w:space="0" w:color="auto"/>
              <w:right w:val="nil"/>
            </w:tcBorders>
            <w:shd w:val="clear" w:color="auto" w:fill="auto"/>
            <w:vAlign w:val="center"/>
          </w:tcPr>
          <w:p w:rsidR="00667DB8" w:rsidRPr="006F51C6" w:rsidRDefault="006F51C6" w:rsidP="006F51C6">
            <w:pPr>
              <w:jc w:val="right"/>
              <w:rPr>
                <w:rFonts w:ascii="Calibri" w:eastAsia="Times New Roman" w:hAnsi="Calibri" w:cs="Calibri"/>
                <w:color w:val="000000"/>
              </w:rPr>
            </w:pPr>
            <w:r>
              <w:rPr>
                <w:rFonts w:ascii="Calibri" w:hAnsi="Calibri" w:cs="Calibri"/>
                <w:color w:val="000000"/>
              </w:rPr>
              <w:t>204,25%</w:t>
            </w:r>
          </w:p>
        </w:tc>
        <w:tc>
          <w:tcPr>
            <w:tcW w:w="144" w:type="dxa"/>
            <w:vMerge/>
            <w:tcBorders>
              <w:top w:val="single" w:sz="4" w:space="0" w:color="auto"/>
              <w:left w:val="single" w:sz="4" w:space="0" w:color="auto"/>
            </w:tcBorders>
          </w:tcPr>
          <w:p w:rsidR="00667DB8" w:rsidRDefault="00667DB8" w:rsidP="00667DB8">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FD06E8" w:rsidP="002C760F">
            <w:pPr>
              <w:jc w:val="both"/>
              <w:rPr>
                <w:rFonts w:ascii="Times New Roman" w:eastAsia="Times New Roman" w:hAnsi="Times New Roman"/>
                <w:sz w:val="16"/>
                <w:szCs w:val="16"/>
              </w:rPr>
            </w:pPr>
            <w:r w:rsidRPr="00FD06E8">
              <w:rPr>
                <w:rFonts w:ascii="Times New Roman" w:hAnsi="Times New Roman"/>
                <w:b/>
              </w:rPr>
              <w:t>2</w:t>
            </w:r>
            <w:r>
              <w:rPr>
                <w:rFonts w:ascii="Times New Roman" w:hAnsi="Times New Roman"/>
                <w:b/>
              </w:rPr>
              <w:t> </w:t>
            </w:r>
            <w:r w:rsidRPr="00FD06E8">
              <w:rPr>
                <w:rFonts w:ascii="Times New Roman" w:hAnsi="Times New Roman"/>
                <w:b/>
              </w:rPr>
              <w:t>765</w:t>
            </w:r>
            <w:r>
              <w:rPr>
                <w:rFonts w:ascii="Times New Roman" w:hAnsi="Times New Roman"/>
                <w:b/>
              </w:rPr>
              <w:t xml:space="preserve"> </w:t>
            </w:r>
            <w:r w:rsidRPr="00FD06E8">
              <w:rPr>
                <w:rFonts w:ascii="Times New Roman" w:hAnsi="Times New Roman"/>
                <w:b/>
              </w:rPr>
              <w:t>473,57</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735309" w:rsidP="002C760F">
            <w:pPr>
              <w:jc w:val="both"/>
              <w:rPr>
                <w:rFonts w:ascii="Times New Roman" w:eastAsia="Times New Roman" w:hAnsi="Times New Roman"/>
                <w:sz w:val="16"/>
                <w:szCs w:val="16"/>
              </w:rPr>
            </w:pPr>
            <w:r w:rsidRPr="00735309">
              <w:rPr>
                <w:rFonts w:ascii="Times New Roman" w:hAnsi="Times New Roman"/>
                <w:b/>
              </w:rPr>
              <w:t>276 547 356,57</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rsidR="003E5838">
        <w:t>т</w:t>
      </w:r>
      <w:r w:rsidR="00136639">
        <w:t xml:space="preserve">вуют данные инфляции за май </w:t>
      </w:r>
      <w:r>
        <w:t>2026 г.</w:t>
      </w:r>
      <w:r w:rsidR="004C339E">
        <w:t>,</w:t>
      </w:r>
      <w:bookmarkStart w:id="0" w:name="_GoBack"/>
      <w:bookmarkEnd w:id="0"/>
      <w:r>
        <w:t xml:space="preserve"> раскрытые Росстатом (</w:t>
      </w:r>
      <w:r w:rsidRPr="005C7547">
        <w:t>https://rosstat.gov.ru/), для расче</w:t>
      </w:r>
      <w:r>
        <w:t>та</w:t>
      </w:r>
      <w:r w:rsidR="00136639">
        <w:t xml:space="preserve"> использованы данные за апрель </w:t>
      </w:r>
      <w:r w:rsidR="003E5838">
        <w:t>2026</w:t>
      </w:r>
      <w:r>
        <w:t xml:space="preserve">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36639"/>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5640A"/>
    <w:rsid w:val="0046422B"/>
    <w:rsid w:val="00465834"/>
    <w:rsid w:val="00473367"/>
    <w:rsid w:val="004A15AB"/>
    <w:rsid w:val="004A2B58"/>
    <w:rsid w:val="004B0DA6"/>
    <w:rsid w:val="004C0BC1"/>
    <w:rsid w:val="004C339E"/>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67DB8"/>
    <w:rsid w:val="00672F92"/>
    <w:rsid w:val="00677124"/>
    <w:rsid w:val="006820EC"/>
    <w:rsid w:val="006852D6"/>
    <w:rsid w:val="006928FB"/>
    <w:rsid w:val="00696ADF"/>
    <w:rsid w:val="006B128C"/>
    <w:rsid w:val="006C04C4"/>
    <w:rsid w:val="006D16C1"/>
    <w:rsid w:val="006D3347"/>
    <w:rsid w:val="006D6FB9"/>
    <w:rsid w:val="006E1D25"/>
    <w:rsid w:val="006E3F42"/>
    <w:rsid w:val="006E616B"/>
    <w:rsid w:val="006F51C6"/>
    <w:rsid w:val="0070233C"/>
    <w:rsid w:val="00703ADB"/>
    <w:rsid w:val="00722EAE"/>
    <w:rsid w:val="00724D0C"/>
    <w:rsid w:val="00735309"/>
    <w:rsid w:val="007423AA"/>
    <w:rsid w:val="00745622"/>
    <w:rsid w:val="00746D0D"/>
    <w:rsid w:val="00747F96"/>
    <w:rsid w:val="0075676B"/>
    <w:rsid w:val="00760764"/>
    <w:rsid w:val="0076543E"/>
    <w:rsid w:val="00767183"/>
    <w:rsid w:val="0077111E"/>
    <w:rsid w:val="0078355F"/>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06DF"/>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0669"/>
    <w:rsid w:val="00D768FF"/>
    <w:rsid w:val="00D77C72"/>
    <w:rsid w:val="00D8625D"/>
    <w:rsid w:val="00D87A80"/>
    <w:rsid w:val="00D916A5"/>
    <w:rsid w:val="00D970B7"/>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20F1"/>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D06E8"/>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715C"/>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6495">
      <w:bodyDiv w:val="1"/>
      <w:marLeft w:val="0"/>
      <w:marRight w:val="0"/>
      <w:marTop w:val="0"/>
      <w:marBottom w:val="0"/>
      <w:divBdr>
        <w:top w:val="none" w:sz="0" w:space="0" w:color="auto"/>
        <w:left w:val="none" w:sz="0" w:space="0" w:color="auto"/>
        <w:bottom w:val="none" w:sz="0" w:space="0" w:color="auto"/>
        <w:right w:val="none" w:sz="0" w:space="0" w:color="auto"/>
      </w:divBdr>
    </w:div>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60807994">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151554750">
      <w:bodyDiv w:val="1"/>
      <w:marLeft w:val="0"/>
      <w:marRight w:val="0"/>
      <w:marTop w:val="0"/>
      <w:marBottom w:val="0"/>
      <w:divBdr>
        <w:top w:val="none" w:sz="0" w:space="0" w:color="auto"/>
        <w:left w:val="none" w:sz="0" w:space="0" w:color="auto"/>
        <w:bottom w:val="none" w:sz="0" w:space="0" w:color="auto"/>
        <w:right w:val="none" w:sz="0" w:space="0" w:color="auto"/>
      </w:divBdr>
    </w:div>
    <w:div w:id="1232932089">
      <w:bodyDiv w:val="1"/>
      <w:marLeft w:val="0"/>
      <w:marRight w:val="0"/>
      <w:marTop w:val="0"/>
      <w:marBottom w:val="0"/>
      <w:divBdr>
        <w:top w:val="none" w:sz="0" w:space="0" w:color="auto"/>
        <w:left w:val="none" w:sz="0" w:space="0" w:color="auto"/>
        <w:bottom w:val="none" w:sz="0" w:space="0" w:color="auto"/>
        <w:right w:val="none" w:sz="0" w:space="0" w:color="auto"/>
      </w:divBdr>
    </w:div>
    <w:div w:id="1373385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 w:id="21263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80;&#1102;&#1085;&#1100;\&#1044;&#1086;&#1093;&#1086;&#1076;&#1085;&#1086;&#1089;&#1090;&#1100;%2029.05.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2025</c:v>
                </c:pt>
                <c:pt idx="1">
                  <c:v>2024</c:v>
                </c:pt>
                <c:pt idx="2">
                  <c:v>2023</c:v>
                </c:pt>
                <c:pt idx="3">
                  <c:v>2022</c:v>
                </c:pt>
                <c:pt idx="4">
                  <c:v>2021</c:v>
                </c:pt>
              </c:strCache>
            </c:strRef>
          </c:cat>
          <c:val>
            <c:numRef>
              <c:f>'Доходность по годам'!$E$4:$E$8</c:f>
              <c:numCache>
                <c:formatCode>0.00%</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1C76-481A-BAD7-108E86A11525}"/>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1887-9297-4878-89A7-2ED69ED2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50</cp:revision>
  <cp:lastPrinted>2022-10-11T08:50:00Z</cp:lastPrinted>
  <dcterms:created xsi:type="dcterms:W3CDTF">2025-06-26T12:04:00Z</dcterms:created>
  <dcterms:modified xsi:type="dcterms:W3CDTF">2026-06-09T13:21:00Z</dcterms:modified>
</cp:coreProperties>
</file>