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tblInd w:w="62" w:type="dxa"/>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FE56D7">
        <w:trPr>
          <w:gridAfter w:val="4"/>
          <w:wAfter w:w="1364" w:type="dxa"/>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FE56D7">
        <w:trPr>
          <w:gridAfter w:val="4"/>
          <w:wAfter w:w="1364" w:type="dxa"/>
        </w:trPr>
        <w:tc>
          <w:tcPr>
            <w:tcW w:w="9073" w:type="dxa"/>
            <w:gridSpan w:val="11"/>
          </w:tcPr>
          <w:p w:rsidR="00696ADF" w:rsidRDefault="00696ADF" w:rsidP="0017130E">
            <w:pPr>
              <w:pStyle w:val="ConsPlusNormal"/>
              <w:jc w:val="center"/>
            </w:pPr>
            <w:r>
              <w:t>о паевом инвестиционном фонде</w:t>
            </w:r>
          </w:p>
        </w:tc>
      </w:tr>
      <w:tr w:rsidR="00696ADF" w:rsidTr="00FE56D7">
        <w:trPr>
          <w:gridAfter w:val="4"/>
          <w:wAfter w:w="1364" w:type="dxa"/>
        </w:trPr>
        <w:tc>
          <w:tcPr>
            <w:tcW w:w="9073" w:type="dxa"/>
            <w:gridSpan w:val="11"/>
          </w:tcPr>
          <w:p w:rsidR="00696ADF" w:rsidRDefault="00696ADF" w:rsidP="0017130E">
            <w:pPr>
              <w:pStyle w:val="ConsPlusNormal"/>
              <w:outlineLvl w:val="0"/>
            </w:pPr>
          </w:p>
        </w:tc>
      </w:tr>
      <w:tr w:rsidR="00696ADF" w:rsidTr="00FE56D7">
        <w:trPr>
          <w:gridAfter w:val="4"/>
          <w:wAfter w:w="1364" w:type="dxa"/>
        </w:trPr>
        <w:tc>
          <w:tcPr>
            <w:tcW w:w="9073" w:type="dxa"/>
            <w:gridSpan w:val="11"/>
          </w:tcPr>
          <w:p w:rsidR="00696ADF" w:rsidRDefault="00696ADF" w:rsidP="0017130E">
            <w:pPr>
              <w:pStyle w:val="ConsPlusNormal"/>
              <w:jc w:val="both"/>
              <w:outlineLvl w:val="0"/>
            </w:pPr>
            <w:r>
              <w:t>Раздел 1. Общие сведения</w:t>
            </w:r>
          </w:p>
        </w:tc>
      </w:tr>
      <w:tr w:rsidR="00696ADF" w:rsidTr="00FE56D7">
        <w:trPr>
          <w:gridAfter w:val="4"/>
          <w:wAfter w:w="1364" w:type="dxa"/>
        </w:trPr>
        <w:tc>
          <w:tcPr>
            <w:tcW w:w="9073" w:type="dxa"/>
            <w:gridSpan w:val="11"/>
          </w:tcPr>
          <w:p w:rsidR="00696ADF" w:rsidRDefault="00696ADF" w:rsidP="0017130E">
            <w:pPr>
              <w:pStyle w:val="ConsPlusNormal"/>
              <w:jc w:val="both"/>
            </w:pPr>
            <w:r>
              <w:t>Ключевой информационный документ</w:t>
            </w:r>
          </w:p>
          <w:p w:rsidR="00696ADF" w:rsidRDefault="00696ADF" w:rsidP="0017130E">
            <w:pPr>
              <w:pStyle w:val="ConsPlusNormal"/>
              <w:jc w:val="both"/>
            </w:pPr>
            <w:r>
              <w:t xml:space="preserve">по состоянию на </w:t>
            </w:r>
            <w:r w:rsidR="00BC531D">
              <w:rPr>
                <w:b/>
                <w:color w:val="000000" w:themeColor="text1"/>
              </w:rPr>
              <w:t>30</w:t>
            </w:r>
            <w:r w:rsidR="00603612">
              <w:rPr>
                <w:b/>
                <w:color w:val="000000" w:themeColor="text1"/>
              </w:rPr>
              <w:t>.0</w:t>
            </w:r>
            <w:r w:rsidR="00BC531D">
              <w:rPr>
                <w:b/>
                <w:color w:val="000000" w:themeColor="text1"/>
              </w:rPr>
              <w:t>9</w:t>
            </w:r>
            <w:r w:rsidRPr="00735928">
              <w:rPr>
                <w:b/>
                <w:color w:val="000000" w:themeColor="text1"/>
              </w:rPr>
              <w:t>.2022.</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FE56D7">
        <w:trPr>
          <w:gridAfter w:val="4"/>
          <w:wAfter w:w="1364" w:type="dxa"/>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FE56D7">
        <w:trPr>
          <w:gridAfter w:val="4"/>
          <w:wAfter w:w="1364" w:type="dxa"/>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FE56D7">
        <w:trPr>
          <w:gridAfter w:val="4"/>
          <w:wAfter w:w="1364" w:type="dxa"/>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FE56D7">
        <w:trPr>
          <w:gridAfter w:val="4"/>
          <w:wAfter w:w="1364" w:type="dxa"/>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0F2423">
            <w:pPr>
              <w:pStyle w:val="ConsPlusNormal"/>
              <w:jc w:val="both"/>
            </w:pPr>
            <w:r>
              <w:t>3. Вы можете погасить инвестиционные паи паевого инвестиционного фонда</w:t>
            </w:r>
            <w:r w:rsidR="000F2423">
              <w:t>,</w:t>
            </w:r>
            <w:r>
              <w:t xml:space="preserve"> </w:t>
            </w:r>
            <w:r w:rsidRPr="001A3D36">
              <w:t>в</w:t>
            </w:r>
            <w:r w:rsidR="000F2423">
              <w:t xml:space="preserve"> случаях, предусмотренных Федеральным законом от 29.11.2001 г.</w:t>
            </w:r>
            <w:r w:rsidRPr="001A3D36">
              <w:t xml:space="preserve"> </w:t>
            </w:r>
            <w:r w:rsidR="000F2423">
              <w:rPr>
                <w:lang w:val="en-US"/>
              </w:rPr>
              <w:t>N</w:t>
            </w:r>
            <w:r w:rsidR="000F2423" w:rsidRPr="000F2423">
              <w:t xml:space="preserve"> 156-</w:t>
            </w:r>
            <w:r w:rsidR="000F2423">
              <w:t>ФЗ «Об инвестиционных фондах».</w:t>
            </w:r>
            <w:r>
              <w:t xml:space="preserve"> Подробные условия указаны в правилах доверительного управления паевым инвестиционным фондом.</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FE56D7">
        <w:trPr>
          <w:gridAfter w:val="4"/>
          <w:wAfter w:w="1364" w:type="dxa"/>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FE56D7">
        <w:trPr>
          <w:gridAfter w:val="4"/>
          <w:wAfter w:w="1364" w:type="dxa"/>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A13034">
            <w:pPr>
              <w:pStyle w:val="ConsPlusNormal"/>
              <w:jc w:val="both"/>
            </w:pPr>
            <w:r>
              <w:lastRenderedPageBreak/>
              <w:t>4.</w:t>
            </w:r>
            <w:r w:rsidR="00696ADF">
              <w:t xml:space="preserve"> </w:t>
            </w:r>
            <w:r>
              <w:t xml:space="preserve">Общее количество объектов </w:t>
            </w:r>
            <w:r w:rsidR="00D916A5">
              <w:t>инвестирования  -  22 объекта</w:t>
            </w:r>
            <w:r>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E56D7">
        <w:trPr>
          <w:gridAfter w:val="4"/>
          <w:wAfter w:w="1364" w:type="dxa"/>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FE56D7">
        <w:trPr>
          <w:gridAfter w:val="4"/>
          <w:wAfter w:w="1364" w:type="dxa"/>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jc w:val="center"/>
            </w:pPr>
            <w:r>
              <w:t>84,62%</w:t>
            </w:r>
          </w:p>
        </w:tc>
        <w:tc>
          <w:tcPr>
            <w:tcW w:w="341" w:type="dxa"/>
            <w:vMerge/>
            <w:tcBorders>
              <w:bottom w:val="single" w:sz="4" w:space="0" w:color="auto"/>
            </w:tcBorders>
          </w:tcPr>
          <w:p w:rsidR="00BC531D" w:rsidRDefault="00BC531D" w:rsidP="0017130E">
            <w:pPr>
              <w:pStyle w:val="ConsPlusNormal"/>
            </w:pPr>
          </w:p>
        </w:tc>
      </w:tr>
      <w:tr w:rsidR="00FE56D7" w:rsidTr="00FE56D7">
        <w:trPr>
          <w:gridAfter w:val="4"/>
          <w:wAfter w:w="1364" w:type="dxa"/>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FE56D7" w:rsidP="00FE56D7">
            <w:pPr>
              <w:pStyle w:val="ConsPlusNormal"/>
              <w:jc w:val="center"/>
            </w:pPr>
            <w:r>
              <w:rPr>
                <w:lang w:val="en-US"/>
              </w:rPr>
              <w:t>7</w:t>
            </w:r>
            <w:r>
              <w:t>,</w:t>
            </w:r>
            <w:r>
              <w:rPr>
                <w:lang w:val="en-US"/>
              </w:rPr>
              <w:t>29</w:t>
            </w:r>
            <w:r>
              <w:t>%</w:t>
            </w:r>
          </w:p>
        </w:tc>
        <w:tc>
          <w:tcPr>
            <w:tcW w:w="341" w:type="dxa"/>
            <w:vMerge/>
            <w:tcBorders>
              <w:bottom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r>
              <w:t>77:02:0021005:1023, здание нежилое, 127521, г. Москва, Анненский пр.,домовладен. №7 стр. 2</w:t>
            </w:r>
          </w:p>
        </w:tc>
        <w:tc>
          <w:tcPr>
            <w:tcW w:w="1134" w:type="dxa"/>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6,64%</w:t>
            </w:r>
          </w:p>
        </w:tc>
        <w:tc>
          <w:tcPr>
            <w:tcW w:w="341" w:type="dxa"/>
            <w:vMerge/>
            <w:tcBorders>
              <w:bottom w:val="single" w:sz="4" w:space="0" w:color="auto"/>
            </w:tcBorders>
          </w:tcPr>
          <w:p w:rsidR="00FE56D7" w:rsidRDefault="00FE56D7" w:rsidP="00FE56D7">
            <w:pPr>
              <w:pStyle w:val="ConsPlusNormal"/>
            </w:pPr>
          </w:p>
        </w:tc>
      </w:tr>
      <w:tr w:rsidR="00FE56D7" w:rsidTr="00FE56D7">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r>
              <w:t>ООО «Два настроения»</w:t>
            </w:r>
          </w:p>
          <w:p w:rsidR="00FE56D7" w:rsidRDefault="00FE56D7" w:rsidP="00FE56D7">
            <w:pPr>
              <w:pStyle w:val="ConsPlusNormal"/>
            </w:pPr>
            <w:r>
              <w:t>(ИНН 5074069895)</w:t>
            </w:r>
          </w:p>
        </w:tc>
        <w:tc>
          <w:tcPr>
            <w:tcW w:w="1134" w:type="dxa"/>
            <w:tcBorders>
              <w:top w:val="single" w:sz="4" w:space="0" w:color="auto"/>
              <w:left w:val="single" w:sz="4" w:space="0" w:color="auto"/>
              <w:bottom w:val="single" w:sz="4" w:space="0" w:color="auto"/>
              <w:right w:val="single" w:sz="4" w:space="0" w:color="auto"/>
            </w:tcBorders>
          </w:tcPr>
          <w:p w:rsidR="00FE56D7" w:rsidRDefault="00D916A5" w:rsidP="00FE56D7">
            <w:pPr>
              <w:pStyle w:val="ConsPlusNormal"/>
              <w:jc w:val="center"/>
            </w:pPr>
            <w:r>
              <w:t>0,38%</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Tr="00FE56D7">
        <w:trPr>
          <w:gridAfter w:val="2"/>
          <w:wAfter w:w="682" w:type="dxa"/>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r>
              <w:t>АО «БНС Груп»</w:t>
            </w:r>
          </w:p>
          <w:p w:rsidR="00FE56D7" w:rsidRDefault="00FE56D7" w:rsidP="00FE56D7">
            <w:pPr>
              <w:pStyle w:val="ConsPlusNormal"/>
            </w:pPr>
            <w:r>
              <w:t>(ИНН 7702680310)</w:t>
            </w:r>
          </w:p>
        </w:tc>
        <w:tc>
          <w:tcPr>
            <w:tcW w:w="1134" w:type="dxa"/>
            <w:tcBorders>
              <w:top w:val="single" w:sz="4" w:space="0" w:color="auto"/>
              <w:left w:val="single" w:sz="4" w:space="0" w:color="auto"/>
              <w:bottom w:val="single" w:sz="4" w:space="0" w:color="auto"/>
              <w:right w:val="single" w:sz="4" w:space="0" w:color="auto"/>
            </w:tcBorders>
          </w:tcPr>
          <w:p w:rsidR="00FE56D7" w:rsidRDefault="00D916A5" w:rsidP="00FE56D7">
            <w:pPr>
              <w:pStyle w:val="ConsPlusNormal"/>
              <w:jc w:val="center"/>
            </w:pPr>
            <w:r>
              <w:t>0,29%</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FE56D7">
        <w:trPr>
          <w:gridAfter w:val="4"/>
          <w:wAfter w:w="1364" w:type="dxa"/>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4. Основные инвестиционные риски</w:t>
            </w:r>
          </w:p>
        </w:tc>
      </w:tr>
      <w:tr w:rsidR="00FE56D7" w:rsidTr="00FE56D7">
        <w:trPr>
          <w:gridAfter w:val="4"/>
          <w:wAfter w:w="1364" w:type="dxa"/>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FE56D7">
        <w:trPr>
          <w:gridAfter w:val="4"/>
          <w:wAfter w:w="1364" w:type="dxa"/>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FE56D7">
        <w:trPr>
          <w:gridAfter w:val="4"/>
          <w:wAfter w:w="1364" w:type="dxa"/>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FE56D7">
        <w:trPr>
          <w:gridAfter w:val="4"/>
          <w:wAfter w:w="1364" w:type="dxa"/>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FE56D7">
        <w:trPr>
          <w:gridAfter w:val="4"/>
          <w:wAfter w:w="1364" w:type="dxa"/>
        </w:trPr>
        <w:tc>
          <w:tcPr>
            <w:tcW w:w="5745" w:type="dxa"/>
            <w:gridSpan w:val="6"/>
            <w:tcBorders>
              <w:top w:val="single" w:sz="4" w:space="0" w:color="auto"/>
              <w:bottom w:val="single" w:sz="4" w:space="0" w:color="auto"/>
            </w:tcBorders>
          </w:tcPr>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FE56D7">
        <w:tblPrEx>
          <w:tblCellMar>
            <w:left w:w="108" w:type="dxa"/>
            <w:right w:w="108" w:type="dxa"/>
          </w:tblCellMar>
        </w:tblPrEx>
        <w:trPr>
          <w:gridAfter w:val="4"/>
          <w:wAfter w:w="1364" w:type="dxa"/>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FE56D7" w:rsidP="00FE56D7">
            <w:pPr>
              <w:pStyle w:val="ConsPlusNormal"/>
              <w:jc w:val="center"/>
              <w:rPr>
                <w:lang w:val="en-US"/>
              </w:rPr>
            </w:pPr>
            <w:r>
              <w:rPr>
                <w:noProof/>
              </w:rPr>
              <w:drawing>
                <wp:inline distT="0" distB="0" distL="0" distR="0" wp14:anchorId="3ADAF99D" wp14:editId="7DA6C430">
                  <wp:extent cx="2693035" cy="2943225"/>
                  <wp:effectExtent l="0" t="0" r="1206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FE56D7">
        <w:trPr>
          <w:gridAfter w:val="4"/>
          <w:wAfter w:w="1364" w:type="dxa"/>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инфляции</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FE56D7">
        <w:trPr>
          <w:gridAfter w:val="4"/>
          <w:wAfter w:w="1364" w:type="dxa"/>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lang w:val="en-US"/>
              </w:rPr>
              <w:t>0</w:t>
            </w:r>
            <w:r>
              <w:rPr>
                <w:rFonts w:ascii="Times New Roman" w:hAnsi="Times New Roman"/>
                <w:sz w:val="24"/>
                <w:szCs w:val="24"/>
              </w:rPr>
              <w:t>,18</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180C8C" w:rsidRDefault="00FE56D7" w:rsidP="00FE56D7">
            <w:pPr>
              <w:jc w:val="center"/>
              <w:rPr>
                <w:rFonts w:ascii="Times New Roman" w:hAnsi="Times New Roman"/>
                <w:color w:val="000000"/>
                <w:sz w:val="24"/>
                <w:szCs w:val="24"/>
              </w:rPr>
            </w:pPr>
            <w:r>
              <w:rPr>
                <w:rFonts w:ascii="Times New Roman" w:hAnsi="Times New Roman"/>
                <w:color w:val="000000"/>
                <w:sz w:val="24"/>
                <w:szCs w:val="24"/>
              </w:rPr>
              <w:t>-</w:t>
            </w:r>
            <w:r w:rsidR="00C17F28">
              <w:rPr>
                <w:rFonts w:ascii="Times New Roman" w:hAnsi="Times New Roman"/>
                <w:color w:val="000000"/>
                <w:sz w:val="24"/>
                <w:szCs w:val="24"/>
                <w:lang w:val="en-US"/>
              </w:rPr>
              <w:t>0</w:t>
            </w:r>
            <w:r w:rsidR="00C17F28">
              <w:rPr>
                <w:rFonts w:ascii="Times New Roman" w:hAnsi="Times New Roman"/>
                <w:color w:val="000000"/>
                <w:sz w:val="24"/>
                <w:szCs w:val="24"/>
              </w:rPr>
              <w:t>,23</w:t>
            </w:r>
            <w:r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FE56D7" w:rsidTr="00FE56D7">
        <w:trPr>
          <w:gridAfter w:val="4"/>
          <w:wAfter w:w="1364" w:type="dxa"/>
          <w:trHeight w:val="309"/>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rPr>
              <w:t>4,71</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C17F28" w:rsidP="00FE56D7">
            <w:pPr>
              <w:jc w:val="center"/>
              <w:rPr>
                <w:rFonts w:ascii="Times New Roman" w:hAnsi="Times New Roman"/>
                <w:color w:val="000000"/>
                <w:sz w:val="24"/>
                <w:szCs w:val="24"/>
              </w:rPr>
            </w:pPr>
            <w:r>
              <w:rPr>
                <w:rFonts w:ascii="Times New Roman" w:hAnsi="Times New Roman"/>
                <w:color w:val="000000"/>
                <w:sz w:val="24"/>
                <w:szCs w:val="24"/>
              </w:rPr>
              <w:t>5,96</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FE56D7">
        <w:trPr>
          <w:gridAfter w:val="4"/>
          <w:wAfter w:w="1364" w:type="dxa"/>
          <w:trHeight w:val="473"/>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rPr>
              <w:t>9,54</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C17F28" w:rsidP="00FE56D7">
            <w:pPr>
              <w:jc w:val="center"/>
              <w:rPr>
                <w:rFonts w:ascii="Times New Roman" w:hAnsi="Times New Roman"/>
                <w:color w:val="000000"/>
                <w:sz w:val="24"/>
                <w:szCs w:val="24"/>
              </w:rPr>
            </w:pPr>
            <w:r>
              <w:rPr>
                <w:rFonts w:ascii="Times New Roman" w:hAnsi="Times New Roman"/>
                <w:color w:val="000000"/>
                <w:sz w:val="24"/>
                <w:szCs w:val="24"/>
              </w:rPr>
              <w:t>0,93</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rPr>
              <w:t>17,68</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C17F28" w:rsidP="00FE56D7">
            <w:pPr>
              <w:jc w:val="center"/>
              <w:rPr>
                <w:rFonts w:ascii="Times New Roman" w:hAnsi="Times New Roman"/>
                <w:color w:val="000000"/>
                <w:sz w:val="24"/>
                <w:szCs w:val="24"/>
              </w:rPr>
            </w:pPr>
            <w:r>
              <w:rPr>
                <w:rFonts w:ascii="Times New Roman" w:hAnsi="Times New Roman"/>
                <w:color w:val="000000"/>
                <w:sz w:val="24"/>
                <w:szCs w:val="24"/>
              </w:rPr>
              <w:t>3,38</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rPr>
              <w:t>50,51</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C17F28" w:rsidP="00FE56D7">
            <w:pPr>
              <w:jc w:val="center"/>
              <w:rPr>
                <w:rFonts w:ascii="Times New Roman" w:hAnsi="Times New Roman"/>
                <w:color w:val="000000"/>
                <w:sz w:val="24"/>
                <w:szCs w:val="24"/>
              </w:rPr>
            </w:pPr>
            <w:r>
              <w:rPr>
                <w:rFonts w:ascii="Times New Roman" w:hAnsi="Times New Roman"/>
                <w:color w:val="000000"/>
                <w:sz w:val="24"/>
                <w:szCs w:val="24"/>
              </w:rPr>
              <w:t>23,55</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tcBorders>
              <w:top w:val="single" w:sz="4" w:space="0" w:color="auto"/>
              <w:right w:val="single" w:sz="4" w:space="0" w:color="auto"/>
            </w:tcBorders>
          </w:tcPr>
          <w:p w:rsidR="00FE56D7" w:rsidRDefault="00FE56D7" w:rsidP="00FE56D7">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FE56D7" w:rsidRPr="00900135" w:rsidRDefault="00FE56D7" w:rsidP="00FE56D7">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tcPr>
          <w:p w:rsidR="00FE56D7" w:rsidRPr="00900135" w:rsidRDefault="00C17F28" w:rsidP="00FE56D7">
            <w:pPr>
              <w:spacing w:line="240" w:lineRule="auto"/>
              <w:jc w:val="center"/>
              <w:rPr>
                <w:rFonts w:ascii="Times New Roman" w:hAnsi="Times New Roman"/>
                <w:sz w:val="24"/>
                <w:szCs w:val="24"/>
              </w:rPr>
            </w:pPr>
            <w:r>
              <w:rPr>
                <w:rFonts w:ascii="Times New Roman" w:hAnsi="Times New Roman"/>
                <w:sz w:val="24"/>
                <w:szCs w:val="24"/>
              </w:rPr>
              <w:t>97,9</w:t>
            </w:r>
            <w:r w:rsidR="00FE56D7">
              <w:rPr>
                <w:rFonts w:ascii="Times New Roman" w:hAnsi="Times New Roman"/>
                <w:sz w:val="24"/>
                <w:szCs w:val="24"/>
              </w:rPr>
              <w:t>4</w:t>
            </w:r>
            <w:r w:rsidR="00FE56D7" w:rsidRPr="00900135">
              <w:rPr>
                <w:rFonts w:ascii="Times New Roman" w:hAnsi="Times New Roman"/>
                <w:sz w:val="24"/>
                <w:szCs w:val="24"/>
              </w:rPr>
              <w:t>%</w:t>
            </w:r>
          </w:p>
        </w:tc>
        <w:tc>
          <w:tcPr>
            <w:tcW w:w="1866" w:type="dxa"/>
            <w:gridSpan w:val="2"/>
            <w:tcBorders>
              <w:top w:val="single" w:sz="4" w:space="0" w:color="auto"/>
              <w:left w:val="nil"/>
              <w:bottom w:val="single" w:sz="4" w:space="0" w:color="auto"/>
              <w:right w:val="nil"/>
            </w:tcBorders>
            <w:shd w:val="clear" w:color="auto" w:fill="auto"/>
            <w:vAlign w:val="center"/>
          </w:tcPr>
          <w:p w:rsidR="00FE56D7" w:rsidRPr="0020563C" w:rsidRDefault="00C17F28" w:rsidP="00FE56D7">
            <w:pPr>
              <w:jc w:val="center"/>
              <w:rPr>
                <w:rFonts w:ascii="Times New Roman" w:hAnsi="Times New Roman"/>
                <w:color w:val="000000"/>
                <w:sz w:val="24"/>
                <w:szCs w:val="24"/>
              </w:rPr>
            </w:pPr>
            <w:r>
              <w:rPr>
                <w:rFonts w:ascii="Times New Roman" w:hAnsi="Times New Roman"/>
                <w:color w:val="000000"/>
                <w:sz w:val="24"/>
                <w:szCs w:val="24"/>
              </w:rPr>
              <w:t>61,41</w:t>
            </w:r>
            <w:r w:rsidR="00FE56D7" w:rsidRPr="0020563C">
              <w:rPr>
                <w:rFonts w:ascii="Times New Roman" w:hAnsi="Times New Roman"/>
                <w:color w:val="000000"/>
                <w:sz w:val="24"/>
                <w:szCs w:val="24"/>
              </w:rPr>
              <w:t>%</w:t>
            </w:r>
          </w:p>
        </w:tc>
        <w:tc>
          <w:tcPr>
            <w:tcW w:w="341" w:type="dxa"/>
            <w:vMerge/>
            <w:tcBorders>
              <w:top w:val="single" w:sz="4" w:space="0" w:color="auto"/>
              <w:left w:val="single" w:sz="4" w:space="0" w:color="auto"/>
            </w:tcBorders>
          </w:tcPr>
          <w:p w:rsidR="00FE56D7" w:rsidRDefault="00FE56D7" w:rsidP="00FE56D7">
            <w:pPr>
              <w:pStyle w:val="ConsPlusNormal"/>
            </w:pPr>
          </w:p>
        </w:tc>
      </w:tr>
      <w:tr w:rsidR="00FE56D7" w:rsidTr="00FE56D7">
        <w:trPr>
          <w:gridAfter w:val="4"/>
          <w:wAfter w:w="1364" w:type="dxa"/>
        </w:trPr>
        <w:tc>
          <w:tcPr>
            <w:tcW w:w="4395" w:type="dxa"/>
            <w:gridSpan w:val="4"/>
            <w:tcBorders>
              <w:bottom w:val="single" w:sz="4" w:space="0" w:color="auto"/>
            </w:tcBorders>
          </w:tcPr>
          <w:p w:rsidR="00FE56D7" w:rsidRPr="00C17F28" w:rsidRDefault="00FE56D7" w:rsidP="00FE56D7">
            <w:pPr>
              <w:pStyle w:val="ConsPlusNormal"/>
              <w:jc w:val="both"/>
            </w:pPr>
            <w:r>
              <w:t xml:space="preserve">1. Расчетная стоимость инвестиционного пая </w:t>
            </w:r>
            <w:r w:rsidR="00EC4A13">
              <w:rPr>
                <w:b/>
              </w:rPr>
              <w:t>1 241 762,22</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EC4A13">
              <w:rPr>
                <w:b/>
              </w:rPr>
              <w:t>124 176 221,77</w:t>
            </w:r>
            <w:r w:rsidRPr="00180504">
              <w:t xml:space="preserve"> </w:t>
            </w:r>
            <w:r>
              <w:lastRenderedPageBreak/>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FE56D7">
        <w:trPr>
          <w:gridAfter w:val="4"/>
          <w:wAfter w:w="1364" w:type="dxa"/>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FE56D7">
        <w:trPr>
          <w:gridAfter w:val="10"/>
          <w:wAfter w:w="5730" w:type="dxa"/>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FE56D7">
        <w:trPr>
          <w:gridAfter w:val="10"/>
          <w:wAfter w:w="5730" w:type="dxa"/>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FE56D7">
        <w:trPr>
          <w:gridAfter w:val="10"/>
          <w:wAfter w:w="5730" w:type="dxa"/>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FE56D7">
        <w:trPr>
          <w:gridAfter w:val="4"/>
          <w:wAfter w:w="1364" w:type="dxa"/>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FE56D7">
        <w:trPr>
          <w:gridAfter w:val="4"/>
          <w:wAfter w:w="1364" w:type="dxa"/>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FE56D7">
        <w:trPr>
          <w:gridAfter w:val="4"/>
          <w:wAfter w:w="1364" w:type="dxa"/>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lastRenderedPageBreak/>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Pr="00340A2A"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sectPr w:rsidR="00180D3E">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63F38"/>
    <w:rsid w:val="000E22E7"/>
    <w:rsid w:val="000F2423"/>
    <w:rsid w:val="0015222E"/>
    <w:rsid w:val="00173959"/>
    <w:rsid w:val="00180C8C"/>
    <w:rsid w:val="00180D3E"/>
    <w:rsid w:val="001E7AB7"/>
    <w:rsid w:val="0020563C"/>
    <w:rsid w:val="002279B7"/>
    <w:rsid w:val="002B15E5"/>
    <w:rsid w:val="002F3318"/>
    <w:rsid w:val="00340A2A"/>
    <w:rsid w:val="003567F6"/>
    <w:rsid w:val="004D742E"/>
    <w:rsid w:val="004E3EE7"/>
    <w:rsid w:val="004E6B42"/>
    <w:rsid w:val="004F1581"/>
    <w:rsid w:val="005600F2"/>
    <w:rsid w:val="005D329B"/>
    <w:rsid w:val="00603612"/>
    <w:rsid w:val="00696ADF"/>
    <w:rsid w:val="006D16C1"/>
    <w:rsid w:val="006E1D25"/>
    <w:rsid w:val="0070233C"/>
    <w:rsid w:val="00722EAE"/>
    <w:rsid w:val="0077111E"/>
    <w:rsid w:val="007F45A4"/>
    <w:rsid w:val="00814E71"/>
    <w:rsid w:val="00816D85"/>
    <w:rsid w:val="00822DE0"/>
    <w:rsid w:val="008438B5"/>
    <w:rsid w:val="008618C7"/>
    <w:rsid w:val="008D774D"/>
    <w:rsid w:val="00900135"/>
    <w:rsid w:val="00901BB8"/>
    <w:rsid w:val="009311A4"/>
    <w:rsid w:val="00942799"/>
    <w:rsid w:val="0097348A"/>
    <w:rsid w:val="00991B80"/>
    <w:rsid w:val="009C266F"/>
    <w:rsid w:val="009F1983"/>
    <w:rsid w:val="00A12670"/>
    <w:rsid w:val="00A13034"/>
    <w:rsid w:val="00A85E3A"/>
    <w:rsid w:val="00B16DF1"/>
    <w:rsid w:val="00B734B9"/>
    <w:rsid w:val="00BC531D"/>
    <w:rsid w:val="00BE2A5E"/>
    <w:rsid w:val="00C17F28"/>
    <w:rsid w:val="00C214B7"/>
    <w:rsid w:val="00C57FF4"/>
    <w:rsid w:val="00C70E40"/>
    <w:rsid w:val="00C846F4"/>
    <w:rsid w:val="00CC3978"/>
    <w:rsid w:val="00CC596C"/>
    <w:rsid w:val="00CE1F59"/>
    <w:rsid w:val="00D12FB4"/>
    <w:rsid w:val="00D524E8"/>
    <w:rsid w:val="00D916A5"/>
    <w:rsid w:val="00DC2756"/>
    <w:rsid w:val="00E034C4"/>
    <w:rsid w:val="00E30AD3"/>
    <w:rsid w:val="00E47FD4"/>
    <w:rsid w:val="00E77355"/>
    <w:rsid w:val="00EC4A13"/>
    <w:rsid w:val="00F34CE5"/>
    <w:rsid w:val="00FB4B61"/>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7344"/>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term01-srv\share\private\Common\&#1044;&#1072;&#1085;&#1085;&#1099;&#1077;%20&#1076;&#1083;&#1103;%20&#1069;&#1044;&#1054;\&#1057;&#1042;&#1050;\&#1050;&#1048;&#1044;\03_2022\&#1044;&#1086;&#1093;&#1086;&#1076;&#1085;&#1086;&#1089;&#1090;&#1100;%20&#1084;&#1072;&#1088;&#1090;%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2021</c:v>
                </c:pt>
                <c:pt idx="1">
                  <c:v>2020</c:v>
                </c:pt>
                <c:pt idx="2">
                  <c:v>2019</c:v>
                </c:pt>
                <c:pt idx="3">
                  <c:v>2018</c:v>
                </c:pt>
                <c:pt idx="4">
                  <c:v>2017</c:v>
                </c:pt>
              </c:strCache>
            </c:strRef>
          </c:cat>
          <c:val>
            <c:numRef>
              <c:f>'Доходность по годам'!$E$4:$E$8</c:f>
              <c:numCache>
                <c:formatCode>0.00%</c:formatCode>
                <c:ptCount val="5"/>
                <c:pt idx="0">
                  <c:v>0.21766911241194561</c:v>
                </c:pt>
                <c:pt idx="1">
                  <c:v>0.10505035080830738</c:v>
                </c:pt>
                <c:pt idx="2">
                  <c:v>0.24074463956000589</c:v>
                </c:pt>
                <c:pt idx="3">
                  <c:v>0.22981630591723923</c:v>
                </c:pt>
                <c:pt idx="4">
                  <c:v>0.24862196723092489</c:v>
                </c:pt>
              </c:numCache>
            </c:numRef>
          </c:val>
          <c:extLst>
            <c:ext xmlns:c16="http://schemas.microsoft.com/office/drawing/2014/chart" uri="{C3380CC4-5D6E-409C-BE32-E72D297353CC}">
              <c16:uniqueId val="{00000000-FC28-4F41-96AD-4D4EC7172949}"/>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8F39-DCDE-4A4C-92EA-EA9BBF3A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Паршин Станислав Викторович</cp:lastModifiedBy>
  <cp:revision>7</cp:revision>
  <cp:lastPrinted>2022-10-11T08:50:00Z</cp:lastPrinted>
  <dcterms:created xsi:type="dcterms:W3CDTF">2022-10-11T11:16:00Z</dcterms:created>
  <dcterms:modified xsi:type="dcterms:W3CDTF">2022-10-11T13:50:00Z</dcterms:modified>
</cp:coreProperties>
</file>